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82" w:rsidRDefault="00491E82" w:rsidP="00491E82">
      <w:pPr>
        <w:jc w:val="center"/>
      </w:pPr>
      <w:r>
        <w:t>ACBC Exam Study Guide</w:t>
      </w:r>
    </w:p>
    <w:p w:rsidR="00491E82" w:rsidRDefault="00491E82" w:rsidP="00491E82">
      <w:pPr>
        <w:jc w:val="center"/>
      </w:pPr>
      <w:r>
        <w:t>Theology Exam 13</w:t>
      </w:r>
    </w:p>
    <w:p w:rsidR="00491E82" w:rsidRDefault="00491E82" w:rsidP="00491E82">
      <w:pPr>
        <w:jc w:val="center"/>
      </w:pPr>
    </w:p>
    <w:p w:rsidR="00491E82" w:rsidRDefault="00491E82" w:rsidP="00491E82">
      <w:r>
        <w:t xml:space="preserve">Q: </w:t>
      </w:r>
      <w:r w:rsidRPr="00183382">
        <w:t>Provide an explanation of and the biblical basis for the doctrine of substitutionary atonement, explaining the implications of this doctrine for human guilt over sin.  Relate your understanding of this to the concept of false guilt.</w:t>
      </w:r>
    </w:p>
    <w:p w:rsidR="00491E82" w:rsidRDefault="00491E82" w:rsidP="00491E82"/>
    <w:p w:rsidR="00491E82" w:rsidRPr="005F422C" w:rsidRDefault="00491E82" w:rsidP="00491E82">
      <w:pPr>
        <w:rPr>
          <w:u w:val="single"/>
        </w:rPr>
      </w:pPr>
      <w:r>
        <w:rPr>
          <w:u w:val="single"/>
        </w:rPr>
        <w:t>Understanding the question:</w:t>
      </w:r>
    </w:p>
    <w:p w:rsidR="00491E82" w:rsidRDefault="00491E82" w:rsidP="00491E82">
      <w:pPr>
        <w:rPr>
          <w:szCs w:val="24"/>
          <w:u w:val="single"/>
        </w:rPr>
      </w:pPr>
    </w:p>
    <w:p w:rsidR="00491E82" w:rsidRPr="002412EA" w:rsidRDefault="00491E82" w:rsidP="00491E82">
      <w:pPr>
        <w:rPr>
          <w:szCs w:val="24"/>
        </w:rPr>
      </w:pPr>
      <w:r>
        <w:rPr>
          <w:szCs w:val="24"/>
        </w:rPr>
        <w:t xml:space="preserve">This question has three parts to it. Be sure to answer all three. Explain the atonement, </w:t>
      </w:r>
      <w:proofErr w:type="gramStart"/>
      <w:r>
        <w:rPr>
          <w:szCs w:val="24"/>
        </w:rPr>
        <w:t>then</w:t>
      </w:r>
      <w:proofErr w:type="gramEnd"/>
      <w:r>
        <w:rPr>
          <w:szCs w:val="24"/>
        </w:rPr>
        <w:t xml:space="preserve"> relate the work of atonement to the problem of human guilt because of sin. Finally, connect atonement to the topic of “false guilt” as it </w:t>
      </w:r>
      <w:proofErr w:type="gramStart"/>
      <w:r>
        <w:rPr>
          <w:szCs w:val="24"/>
        </w:rPr>
        <w:t>is typically understood</w:t>
      </w:r>
      <w:proofErr w:type="gramEnd"/>
      <w:r>
        <w:rPr>
          <w:szCs w:val="24"/>
        </w:rPr>
        <w:t xml:space="preserve"> in counseling contexts.</w:t>
      </w:r>
    </w:p>
    <w:p w:rsidR="00491E82" w:rsidRDefault="00491E82" w:rsidP="00491E82">
      <w:pPr>
        <w:rPr>
          <w:szCs w:val="24"/>
          <w:u w:val="single"/>
        </w:rPr>
      </w:pPr>
    </w:p>
    <w:p w:rsidR="00491E82" w:rsidRDefault="00491E82" w:rsidP="00491E82">
      <w:pPr>
        <w:rPr>
          <w:szCs w:val="24"/>
        </w:rPr>
      </w:pPr>
      <w:r w:rsidRPr="00193B90">
        <w:rPr>
          <w:szCs w:val="24"/>
          <w:u w:val="single"/>
        </w:rPr>
        <w:t>Definitions</w:t>
      </w:r>
      <w:r w:rsidRPr="00453410">
        <w:rPr>
          <w:szCs w:val="24"/>
        </w:rPr>
        <w:t>:</w:t>
      </w:r>
    </w:p>
    <w:p w:rsidR="00491E82" w:rsidRDefault="00491E82" w:rsidP="00491E82">
      <w:pPr>
        <w:rPr>
          <w:szCs w:val="24"/>
        </w:rPr>
      </w:pPr>
    </w:p>
    <w:p w:rsidR="00491E82" w:rsidRDefault="00491E82" w:rsidP="00491E82">
      <w:pPr>
        <w:rPr>
          <w:szCs w:val="24"/>
        </w:rPr>
      </w:pPr>
      <w:r>
        <w:rPr>
          <w:szCs w:val="24"/>
        </w:rPr>
        <w:t>Substitutionary atonement</w:t>
      </w:r>
    </w:p>
    <w:p w:rsidR="00491E82" w:rsidRDefault="00491E82" w:rsidP="00491E82">
      <w:pPr>
        <w:rPr>
          <w:szCs w:val="24"/>
        </w:rPr>
      </w:pPr>
      <w:r>
        <w:rPr>
          <w:szCs w:val="24"/>
        </w:rPr>
        <w:t>Guilt</w:t>
      </w:r>
    </w:p>
    <w:p w:rsidR="00491E82" w:rsidRDefault="00491E82" w:rsidP="00491E82">
      <w:pPr>
        <w:rPr>
          <w:szCs w:val="24"/>
        </w:rPr>
      </w:pPr>
      <w:r>
        <w:rPr>
          <w:szCs w:val="24"/>
        </w:rPr>
        <w:t>False guilt</w:t>
      </w:r>
    </w:p>
    <w:p w:rsidR="00491E82" w:rsidRPr="00453410" w:rsidRDefault="00491E82" w:rsidP="00491E82">
      <w:pPr>
        <w:rPr>
          <w:szCs w:val="24"/>
        </w:rPr>
      </w:pPr>
    </w:p>
    <w:p w:rsidR="00491E82" w:rsidRDefault="00491E82" w:rsidP="00491E82">
      <w:pPr>
        <w:rPr>
          <w:szCs w:val="24"/>
        </w:rPr>
      </w:pPr>
      <w:r>
        <w:rPr>
          <w:szCs w:val="24"/>
          <w:u w:val="single"/>
        </w:rPr>
        <w:t>Scripture</w:t>
      </w:r>
      <w:r w:rsidRPr="00193B90">
        <w:rPr>
          <w:szCs w:val="24"/>
          <w:u w:val="single"/>
        </w:rPr>
        <w:t xml:space="preserve"> Texts</w:t>
      </w:r>
      <w:r w:rsidRPr="00453410">
        <w:rPr>
          <w:szCs w:val="24"/>
        </w:rPr>
        <w:t>:</w:t>
      </w:r>
    </w:p>
    <w:p w:rsidR="00491E82" w:rsidRDefault="00491E82" w:rsidP="00491E82">
      <w:pPr>
        <w:rPr>
          <w:szCs w:val="24"/>
        </w:rPr>
      </w:pPr>
    </w:p>
    <w:p w:rsidR="00491E82" w:rsidRDefault="00491E82" w:rsidP="00491E82">
      <w:pPr>
        <w:rPr>
          <w:szCs w:val="24"/>
        </w:rPr>
      </w:pPr>
      <w:r>
        <w:rPr>
          <w:szCs w:val="24"/>
        </w:rPr>
        <w:t>Romans 3</w:t>
      </w:r>
    </w:p>
    <w:p w:rsidR="00491E82" w:rsidRDefault="00491E82" w:rsidP="00491E82">
      <w:pPr>
        <w:rPr>
          <w:szCs w:val="24"/>
        </w:rPr>
      </w:pPr>
      <w:proofErr w:type="gramStart"/>
      <w:r>
        <w:rPr>
          <w:szCs w:val="24"/>
        </w:rPr>
        <w:t>2</w:t>
      </w:r>
      <w:proofErr w:type="gramEnd"/>
      <w:r>
        <w:rPr>
          <w:szCs w:val="24"/>
        </w:rPr>
        <w:t xml:space="preserve"> Corinthians 5:21</w:t>
      </w:r>
    </w:p>
    <w:p w:rsidR="00491E82" w:rsidRDefault="00491E82" w:rsidP="00491E82">
      <w:pPr>
        <w:rPr>
          <w:szCs w:val="24"/>
        </w:rPr>
      </w:pPr>
      <w:r>
        <w:rPr>
          <w:szCs w:val="24"/>
        </w:rPr>
        <w:t>Matthew 5:22</w:t>
      </w:r>
    </w:p>
    <w:p w:rsidR="00491E82" w:rsidRDefault="00491E82" w:rsidP="00491E82">
      <w:pPr>
        <w:rPr>
          <w:szCs w:val="24"/>
        </w:rPr>
      </w:pPr>
      <w:r>
        <w:rPr>
          <w:szCs w:val="24"/>
        </w:rPr>
        <w:t>James 2:10</w:t>
      </w:r>
    </w:p>
    <w:p w:rsidR="00491E82" w:rsidRDefault="00491E82" w:rsidP="00491E82">
      <w:pPr>
        <w:rPr>
          <w:szCs w:val="24"/>
        </w:rPr>
      </w:pPr>
      <w:r>
        <w:rPr>
          <w:szCs w:val="24"/>
        </w:rPr>
        <w:t>Romans 2:15</w:t>
      </w:r>
    </w:p>
    <w:p w:rsidR="00491E82" w:rsidRDefault="00491E82" w:rsidP="00491E82">
      <w:pPr>
        <w:rPr>
          <w:szCs w:val="24"/>
        </w:rPr>
      </w:pPr>
      <w:r>
        <w:rPr>
          <w:szCs w:val="24"/>
        </w:rPr>
        <w:t>Romans 14</w:t>
      </w:r>
    </w:p>
    <w:p w:rsidR="00491E82" w:rsidRPr="00A21115" w:rsidRDefault="00491E82" w:rsidP="00491E82">
      <w:pPr>
        <w:rPr>
          <w:szCs w:val="24"/>
        </w:rPr>
      </w:pPr>
      <w:proofErr w:type="gramStart"/>
      <w:r>
        <w:rPr>
          <w:szCs w:val="24"/>
        </w:rPr>
        <w:t>1</w:t>
      </w:r>
      <w:proofErr w:type="gramEnd"/>
      <w:r>
        <w:rPr>
          <w:szCs w:val="24"/>
        </w:rPr>
        <w:t xml:space="preserve"> Corinthians 9</w:t>
      </w:r>
    </w:p>
    <w:p w:rsidR="00491E82" w:rsidRDefault="00491E82" w:rsidP="00491E82">
      <w:pPr>
        <w:rPr>
          <w:szCs w:val="24"/>
        </w:rPr>
      </w:pPr>
    </w:p>
    <w:p w:rsidR="00491E82" w:rsidRDefault="00491E82" w:rsidP="00491E82">
      <w:pPr>
        <w:rPr>
          <w:szCs w:val="24"/>
        </w:rPr>
      </w:pPr>
    </w:p>
    <w:p w:rsidR="00491E82" w:rsidRPr="00453410" w:rsidRDefault="00491E82" w:rsidP="00491E82">
      <w:pPr>
        <w:rPr>
          <w:szCs w:val="24"/>
        </w:rPr>
      </w:pPr>
      <w:r w:rsidRPr="00193B90">
        <w:rPr>
          <w:szCs w:val="24"/>
          <w:u w:val="single"/>
        </w:rPr>
        <w:t>Resources</w:t>
      </w:r>
      <w:r w:rsidRPr="00453410">
        <w:rPr>
          <w:szCs w:val="24"/>
        </w:rPr>
        <w:t>:</w:t>
      </w:r>
    </w:p>
    <w:p w:rsidR="00491E82" w:rsidRDefault="00491E82" w:rsidP="00491E82">
      <w:pPr>
        <w:rPr>
          <w:szCs w:val="24"/>
        </w:rPr>
      </w:pPr>
    </w:p>
    <w:p w:rsidR="00491E82" w:rsidRDefault="00491E82" w:rsidP="00491E82">
      <w:pPr>
        <w:rPr>
          <w:szCs w:val="24"/>
        </w:rPr>
      </w:pPr>
      <w:r>
        <w:rPr>
          <w:szCs w:val="24"/>
        </w:rPr>
        <w:t>Atonement:</w:t>
      </w:r>
    </w:p>
    <w:p w:rsidR="00491E82" w:rsidRDefault="00491E82" w:rsidP="00491E82">
      <w:pPr>
        <w:rPr>
          <w:szCs w:val="24"/>
        </w:rPr>
      </w:pPr>
    </w:p>
    <w:p w:rsidR="00491E82" w:rsidRDefault="00491E82" w:rsidP="00491E82">
      <w:pPr>
        <w:ind w:left="720"/>
      </w:pPr>
      <w:proofErr w:type="gramStart"/>
      <w:r>
        <w:rPr>
          <w:szCs w:val="24"/>
        </w:rPr>
        <w:t xml:space="preserve">John Macarthur and Richard </w:t>
      </w:r>
      <w:proofErr w:type="spellStart"/>
      <w:r>
        <w:rPr>
          <w:szCs w:val="24"/>
        </w:rPr>
        <w:t>Mayhue</w:t>
      </w:r>
      <w:proofErr w:type="spellEnd"/>
      <w:r>
        <w:rPr>
          <w:szCs w:val="24"/>
        </w:rPr>
        <w:t xml:space="preserve">, </w:t>
      </w:r>
      <w:r>
        <w:rPr>
          <w:i/>
          <w:szCs w:val="24"/>
        </w:rPr>
        <w:t>Biblical Doctrine</w:t>
      </w:r>
      <w:r>
        <w:rPr>
          <w:szCs w:val="24"/>
        </w:rPr>
        <w:t xml:space="preserve"> (Crossway, 2017), </w:t>
      </w:r>
      <w:r>
        <w:t>305-315, 511-43.</w:t>
      </w:r>
      <w:proofErr w:type="gramEnd"/>
    </w:p>
    <w:p w:rsidR="00491E82" w:rsidRDefault="00491E82" w:rsidP="00491E82">
      <w:pPr>
        <w:ind w:firstLine="720"/>
      </w:pPr>
    </w:p>
    <w:p w:rsidR="00491E82" w:rsidRDefault="00491E82" w:rsidP="00491E82">
      <w:pPr>
        <w:ind w:firstLine="720"/>
      </w:pPr>
      <w:r>
        <w:rPr>
          <w:szCs w:val="24"/>
        </w:rPr>
        <w:t xml:space="preserve">John Frame, </w:t>
      </w:r>
      <w:r>
        <w:rPr>
          <w:i/>
          <w:szCs w:val="24"/>
        </w:rPr>
        <w:t>Systematic Theology</w:t>
      </w:r>
      <w:r>
        <w:rPr>
          <w:szCs w:val="24"/>
        </w:rPr>
        <w:t xml:space="preserve"> (P&amp;R, 2013), </w:t>
      </w:r>
      <w:r>
        <w:t>899-920</w:t>
      </w:r>
    </w:p>
    <w:p w:rsidR="00491E82" w:rsidRDefault="00491E82" w:rsidP="00491E82">
      <w:pPr>
        <w:ind w:firstLine="720"/>
        <w:rPr>
          <w:szCs w:val="24"/>
        </w:rPr>
      </w:pPr>
    </w:p>
    <w:p w:rsidR="00491E82" w:rsidRPr="00453410" w:rsidRDefault="00491E82" w:rsidP="00491E82">
      <w:pPr>
        <w:ind w:firstLine="720"/>
        <w:rPr>
          <w:szCs w:val="24"/>
        </w:rPr>
      </w:pPr>
      <w:r w:rsidRPr="00453410">
        <w:rPr>
          <w:szCs w:val="24"/>
        </w:rPr>
        <w:t xml:space="preserve">Wayne </w:t>
      </w:r>
      <w:proofErr w:type="spellStart"/>
      <w:r w:rsidRPr="00453410">
        <w:rPr>
          <w:szCs w:val="24"/>
        </w:rPr>
        <w:t>Grudem</w:t>
      </w:r>
      <w:proofErr w:type="spellEnd"/>
      <w:r w:rsidRPr="00453410">
        <w:rPr>
          <w:szCs w:val="24"/>
        </w:rPr>
        <w:t xml:space="preserve">, </w:t>
      </w:r>
      <w:r w:rsidRPr="00453410">
        <w:rPr>
          <w:i/>
          <w:szCs w:val="24"/>
        </w:rPr>
        <w:t>Systematic Theology</w:t>
      </w:r>
      <w:r w:rsidRPr="00453410">
        <w:rPr>
          <w:szCs w:val="24"/>
        </w:rPr>
        <w:t xml:space="preserve"> (Zondervan, 1994), </w:t>
      </w:r>
      <w:r>
        <w:rPr>
          <w:szCs w:val="24"/>
        </w:rPr>
        <w:t>568-607</w:t>
      </w:r>
      <w:r w:rsidRPr="00453410">
        <w:rPr>
          <w:szCs w:val="24"/>
        </w:rPr>
        <w:t>.</w:t>
      </w:r>
    </w:p>
    <w:p w:rsidR="00491E82" w:rsidRDefault="00491E82" w:rsidP="00491E82">
      <w:pPr>
        <w:rPr>
          <w:szCs w:val="24"/>
        </w:rPr>
      </w:pPr>
    </w:p>
    <w:p w:rsidR="00491E82" w:rsidRDefault="00491E82" w:rsidP="00491E82">
      <w:pPr>
        <w:ind w:firstLine="720"/>
        <w:rPr>
          <w:szCs w:val="24"/>
        </w:rPr>
      </w:pPr>
      <w:r>
        <w:rPr>
          <w:szCs w:val="24"/>
        </w:rPr>
        <w:t xml:space="preserve">Millard Erickson, </w:t>
      </w:r>
      <w:r>
        <w:rPr>
          <w:i/>
          <w:szCs w:val="24"/>
        </w:rPr>
        <w:t>Christian Theology</w:t>
      </w:r>
      <w:r>
        <w:rPr>
          <w:szCs w:val="24"/>
        </w:rPr>
        <w:t xml:space="preserve"> (Baker, 1983), 818-840.</w:t>
      </w:r>
    </w:p>
    <w:p w:rsidR="00491E82" w:rsidRDefault="00491E82" w:rsidP="00491E82">
      <w:pPr>
        <w:ind w:firstLine="720"/>
        <w:rPr>
          <w:szCs w:val="24"/>
        </w:rPr>
      </w:pPr>
    </w:p>
    <w:p w:rsidR="00491E82" w:rsidRDefault="00491E82" w:rsidP="00491E82">
      <w:pPr>
        <w:ind w:left="720"/>
        <w:rPr>
          <w:szCs w:val="24"/>
        </w:rPr>
      </w:pPr>
      <w:r>
        <w:rPr>
          <w:szCs w:val="24"/>
        </w:rPr>
        <w:t xml:space="preserve">Louis </w:t>
      </w:r>
      <w:proofErr w:type="spellStart"/>
      <w:r>
        <w:rPr>
          <w:szCs w:val="24"/>
        </w:rPr>
        <w:t>Berkhof</w:t>
      </w:r>
      <w:proofErr w:type="spellEnd"/>
      <w:r>
        <w:rPr>
          <w:szCs w:val="24"/>
        </w:rPr>
        <w:t xml:space="preserve">, </w:t>
      </w:r>
      <w:r>
        <w:rPr>
          <w:i/>
          <w:szCs w:val="24"/>
        </w:rPr>
        <w:t>Systematic Theology</w:t>
      </w:r>
      <w:r>
        <w:rPr>
          <w:szCs w:val="24"/>
        </w:rPr>
        <w:t>, New Com. Ed. (Eerdmans, 1996), 367-383, 392-399.</w:t>
      </w:r>
    </w:p>
    <w:p w:rsidR="00491E82" w:rsidRDefault="00491E82" w:rsidP="00491E82">
      <w:pPr>
        <w:ind w:firstLine="720"/>
        <w:rPr>
          <w:szCs w:val="24"/>
        </w:rPr>
      </w:pPr>
    </w:p>
    <w:p w:rsidR="00491E82" w:rsidRDefault="00491E82" w:rsidP="00491E82">
      <w:pPr>
        <w:ind w:firstLine="720"/>
        <w:rPr>
          <w:szCs w:val="24"/>
        </w:rPr>
      </w:pPr>
      <w:r w:rsidRPr="00453410">
        <w:rPr>
          <w:szCs w:val="24"/>
        </w:rPr>
        <w:lastRenderedPageBreak/>
        <w:t xml:space="preserve">Paul Enns, </w:t>
      </w:r>
      <w:r w:rsidRPr="00453410">
        <w:rPr>
          <w:i/>
          <w:szCs w:val="24"/>
        </w:rPr>
        <w:t>Moody Handbook of Theology</w:t>
      </w:r>
      <w:r>
        <w:rPr>
          <w:szCs w:val="24"/>
        </w:rPr>
        <w:t>, rev. ed. (Moody, 2014</w:t>
      </w:r>
      <w:r w:rsidRPr="00453410">
        <w:rPr>
          <w:szCs w:val="24"/>
        </w:rPr>
        <w:t xml:space="preserve">), </w:t>
      </w:r>
      <w:r>
        <w:rPr>
          <w:szCs w:val="24"/>
        </w:rPr>
        <w:t>335-361.</w:t>
      </w:r>
    </w:p>
    <w:p w:rsidR="00491E82" w:rsidRDefault="00491E82" w:rsidP="00491E82">
      <w:pPr>
        <w:rPr>
          <w:szCs w:val="24"/>
        </w:rPr>
      </w:pPr>
    </w:p>
    <w:p w:rsidR="00491E82" w:rsidRPr="006864DA" w:rsidRDefault="00491E82" w:rsidP="00491E82">
      <w:pPr>
        <w:ind w:firstLine="720"/>
        <w:rPr>
          <w:szCs w:val="24"/>
        </w:rPr>
      </w:pPr>
      <w:r>
        <w:rPr>
          <w:szCs w:val="24"/>
        </w:rPr>
        <w:t xml:space="preserve">Bruce Demarest, </w:t>
      </w:r>
      <w:proofErr w:type="gramStart"/>
      <w:r>
        <w:rPr>
          <w:i/>
          <w:szCs w:val="24"/>
        </w:rPr>
        <w:t>The</w:t>
      </w:r>
      <w:proofErr w:type="gramEnd"/>
      <w:r>
        <w:rPr>
          <w:i/>
          <w:szCs w:val="24"/>
        </w:rPr>
        <w:t xml:space="preserve"> Cross and Salvation</w:t>
      </w:r>
      <w:r>
        <w:rPr>
          <w:szCs w:val="24"/>
        </w:rPr>
        <w:t xml:space="preserve"> (Crossway, 1997), 147-202.</w:t>
      </w:r>
    </w:p>
    <w:p w:rsidR="00491E82" w:rsidRDefault="00491E82" w:rsidP="00491E82">
      <w:pPr>
        <w:rPr>
          <w:szCs w:val="24"/>
        </w:rPr>
      </w:pPr>
    </w:p>
    <w:p w:rsidR="00491E82" w:rsidRPr="0083270B" w:rsidRDefault="00491E82" w:rsidP="00491E82">
      <w:pPr>
        <w:rPr>
          <w:szCs w:val="24"/>
        </w:rPr>
      </w:pPr>
      <w:r>
        <w:rPr>
          <w:szCs w:val="24"/>
        </w:rPr>
        <w:tab/>
        <w:t xml:space="preserve">John Murray, </w:t>
      </w:r>
      <w:r>
        <w:rPr>
          <w:i/>
          <w:szCs w:val="24"/>
        </w:rPr>
        <w:t>Redemption Accomplished and Applied</w:t>
      </w:r>
      <w:r>
        <w:rPr>
          <w:szCs w:val="24"/>
        </w:rPr>
        <w:t xml:space="preserve"> (Eerdmans, 1955).</w:t>
      </w:r>
    </w:p>
    <w:p w:rsidR="00491E82" w:rsidRDefault="00491E82" w:rsidP="00491E82">
      <w:pPr>
        <w:rPr>
          <w:szCs w:val="24"/>
        </w:rPr>
      </w:pPr>
    </w:p>
    <w:p w:rsidR="00491E82" w:rsidRPr="0083270B" w:rsidRDefault="00491E82" w:rsidP="00491E82">
      <w:pPr>
        <w:rPr>
          <w:szCs w:val="24"/>
        </w:rPr>
      </w:pPr>
      <w:r>
        <w:rPr>
          <w:szCs w:val="24"/>
        </w:rPr>
        <w:tab/>
        <w:t xml:space="preserve">Leon Morris, </w:t>
      </w:r>
      <w:proofErr w:type="gramStart"/>
      <w:r>
        <w:rPr>
          <w:i/>
          <w:szCs w:val="24"/>
        </w:rPr>
        <w:t>The</w:t>
      </w:r>
      <w:proofErr w:type="gramEnd"/>
      <w:r>
        <w:rPr>
          <w:i/>
          <w:szCs w:val="24"/>
        </w:rPr>
        <w:t xml:space="preserve"> Apostolic Preaching of the Cross</w:t>
      </w:r>
      <w:r>
        <w:rPr>
          <w:szCs w:val="24"/>
        </w:rPr>
        <w:t>, 3</w:t>
      </w:r>
      <w:r w:rsidRPr="0083270B">
        <w:rPr>
          <w:szCs w:val="24"/>
          <w:vertAlign w:val="superscript"/>
        </w:rPr>
        <w:t>rd</w:t>
      </w:r>
      <w:r>
        <w:rPr>
          <w:szCs w:val="24"/>
        </w:rPr>
        <w:t xml:space="preserve"> rev. ed. (Eerdmans, 1965).</w:t>
      </w:r>
    </w:p>
    <w:p w:rsidR="00491E82" w:rsidRDefault="00491E82" w:rsidP="00491E82">
      <w:pPr>
        <w:rPr>
          <w:szCs w:val="24"/>
        </w:rPr>
      </w:pPr>
      <w:r>
        <w:rPr>
          <w:szCs w:val="24"/>
        </w:rPr>
        <w:tab/>
      </w:r>
    </w:p>
    <w:p w:rsidR="00491E82" w:rsidRDefault="00491E82" w:rsidP="00491E82">
      <w:pPr>
        <w:rPr>
          <w:szCs w:val="24"/>
        </w:rPr>
      </w:pPr>
      <w:r>
        <w:rPr>
          <w:szCs w:val="24"/>
        </w:rPr>
        <w:tab/>
        <w:t xml:space="preserve">J.I. Packer &amp; Mark </w:t>
      </w:r>
      <w:proofErr w:type="spellStart"/>
      <w:r>
        <w:rPr>
          <w:szCs w:val="24"/>
        </w:rPr>
        <w:t>Dever</w:t>
      </w:r>
      <w:proofErr w:type="spellEnd"/>
      <w:r>
        <w:rPr>
          <w:szCs w:val="24"/>
        </w:rPr>
        <w:t xml:space="preserve">, eds., </w:t>
      </w:r>
      <w:r>
        <w:rPr>
          <w:i/>
          <w:szCs w:val="24"/>
        </w:rPr>
        <w:t>In My Place Condemned He Stood</w:t>
      </w:r>
      <w:r>
        <w:rPr>
          <w:szCs w:val="24"/>
        </w:rPr>
        <w:t xml:space="preserve"> (Crossway, 2007).</w:t>
      </w:r>
    </w:p>
    <w:p w:rsidR="00491E82" w:rsidRDefault="00491E82" w:rsidP="00491E82">
      <w:pPr>
        <w:rPr>
          <w:szCs w:val="24"/>
        </w:rPr>
      </w:pPr>
    </w:p>
    <w:p w:rsidR="00491E82" w:rsidRDefault="00491E82" w:rsidP="00491E82">
      <w:pPr>
        <w:ind w:firstLine="720"/>
        <w:rPr>
          <w:szCs w:val="24"/>
        </w:rPr>
      </w:pPr>
      <w:r>
        <w:rPr>
          <w:szCs w:val="24"/>
        </w:rPr>
        <w:t xml:space="preserve">Gabriel </w:t>
      </w:r>
      <w:proofErr w:type="spellStart"/>
      <w:r>
        <w:rPr>
          <w:szCs w:val="24"/>
        </w:rPr>
        <w:t>Fluhrer</w:t>
      </w:r>
      <w:proofErr w:type="spellEnd"/>
      <w:r>
        <w:rPr>
          <w:szCs w:val="24"/>
        </w:rPr>
        <w:t xml:space="preserve">, ed., </w:t>
      </w:r>
      <w:r>
        <w:rPr>
          <w:i/>
          <w:szCs w:val="24"/>
        </w:rPr>
        <w:t>Atonement</w:t>
      </w:r>
      <w:r>
        <w:rPr>
          <w:szCs w:val="24"/>
        </w:rPr>
        <w:t xml:space="preserve"> (P&amp;R, 2010).</w:t>
      </w:r>
    </w:p>
    <w:p w:rsidR="00491E82" w:rsidRDefault="00491E82" w:rsidP="00491E82">
      <w:pPr>
        <w:ind w:firstLine="720"/>
        <w:rPr>
          <w:szCs w:val="24"/>
        </w:rPr>
      </w:pPr>
    </w:p>
    <w:p w:rsidR="00491E82" w:rsidRPr="0083270B" w:rsidRDefault="00491E82" w:rsidP="00491E82">
      <w:pPr>
        <w:ind w:left="720"/>
        <w:rPr>
          <w:szCs w:val="24"/>
        </w:rPr>
      </w:pPr>
      <w:r>
        <w:rPr>
          <w:szCs w:val="24"/>
        </w:rPr>
        <w:t xml:space="preserve">Steve Jeffery, Michael </w:t>
      </w:r>
      <w:proofErr w:type="spellStart"/>
      <w:r>
        <w:rPr>
          <w:szCs w:val="24"/>
        </w:rPr>
        <w:t>Ovey</w:t>
      </w:r>
      <w:proofErr w:type="spellEnd"/>
      <w:r>
        <w:rPr>
          <w:szCs w:val="24"/>
        </w:rPr>
        <w:t xml:space="preserve"> &amp; Andrew </w:t>
      </w:r>
      <w:proofErr w:type="spellStart"/>
      <w:r>
        <w:rPr>
          <w:szCs w:val="24"/>
        </w:rPr>
        <w:t>Sach</w:t>
      </w:r>
      <w:proofErr w:type="spellEnd"/>
      <w:r>
        <w:rPr>
          <w:szCs w:val="24"/>
        </w:rPr>
        <w:t xml:space="preserve">, </w:t>
      </w:r>
      <w:r>
        <w:rPr>
          <w:i/>
          <w:szCs w:val="24"/>
        </w:rPr>
        <w:t>Pierced for Our Transgressions</w:t>
      </w:r>
      <w:r>
        <w:rPr>
          <w:szCs w:val="24"/>
        </w:rPr>
        <w:t xml:space="preserve"> (Crossway, 2007).</w:t>
      </w:r>
    </w:p>
    <w:p w:rsidR="00491E82" w:rsidRDefault="00491E82" w:rsidP="00491E82">
      <w:pPr>
        <w:rPr>
          <w:szCs w:val="24"/>
        </w:rPr>
      </w:pPr>
    </w:p>
    <w:p w:rsidR="00491E82" w:rsidRDefault="00491E82" w:rsidP="00491E82">
      <w:pPr>
        <w:rPr>
          <w:szCs w:val="24"/>
        </w:rPr>
      </w:pPr>
    </w:p>
    <w:p w:rsidR="00491E82" w:rsidRDefault="00491E82" w:rsidP="00491E82">
      <w:pPr>
        <w:rPr>
          <w:szCs w:val="24"/>
        </w:rPr>
      </w:pPr>
      <w:r>
        <w:rPr>
          <w:szCs w:val="24"/>
        </w:rPr>
        <w:t>Guilt and False Guilt:</w:t>
      </w:r>
    </w:p>
    <w:p w:rsidR="00491E82" w:rsidRDefault="00491E82" w:rsidP="00491E82">
      <w:pPr>
        <w:rPr>
          <w:szCs w:val="24"/>
        </w:rPr>
      </w:pPr>
    </w:p>
    <w:p w:rsidR="00491E82" w:rsidRPr="00A21115" w:rsidRDefault="00491E82" w:rsidP="00491E82">
      <w:pPr>
        <w:ind w:left="720"/>
        <w:rPr>
          <w:szCs w:val="24"/>
        </w:rPr>
      </w:pPr>
      <w:r>
        <w:rPr>
          <w:szCs w:val="24"/>
        </w:rPr>
        <w:t xml:space="preserve">Jay Adams, </w:t>
      </w:r>
      <w:r>
        <w:rPr>
          <w:i/>
          <w:szCs w:val="24"/>
        </w:rPr>
        <w:t>Competent to Counsel</w:t>
      </w:r>
      <w:r>
        <w:rPr>
          <w:szCs w:val="24"/>
        </w:rPr>
        <w:t xml:space="preserve"> (Zondervan, 1986), 9-14 (see especially footnote 1 on p. 14)</w:t>
      </w:r>
    </w:p>
    <w:p w:rsidR="00491E82" w:rsidRDefault="00491E82" w:rsidP="00491E82">
      <w:pPr>
        <w:rPr>
          <w:szCs w:val="24"/>
        </w:rPr>
      </w:pPr>
      <w:r>
        <w:rPr>
          <w:szCs w:val="24"/>
        </w:rPr>
        <w:tab/>
      </w:r>
    </w:p>
    <w:p w:rsidR="00491E82" w:rsidRDefault="00491E82" w:rsidP="00491E82">
      <w:pPr>
        <w:ind w:firstLine="720"/>
        <w:rPr>
          <w:szCs w:val="24"/>
        </w:rPr>
      </w:pPr>
      <w:r w:rsidRPr="00453410">
        <w:rPr>
          <w:szCs w:val="24"/>
        </w:rPr>
        <w:t xml:space="preserve">Jay Adams, </w:t>
      </w:r>
      <w:r w:rsidRPr="00453410">
        <w:rPr>
          <w:i/>
          <w:szCs w:val="24"/>
        </w:rPr>
        <w:t>A Theology of Christian Counseling</w:t>
      </w:r>
      <w:r>
        <w:rPr>
          <w:szCs w:val="24"/>
        </w:rPr>
        <w:t xml:space="preserve"> (Zondervan, 1979), 144-146.</w:t>
      </w:r>
    </w:p>
    <w:p w:rsidR="00E81A56" w:rsidRDefault="00E81A56">
      <w:bookmarkStart w:id="0" w:name="_GoBack"/>
      <w:bookmarkEnd w:id="0"/>
    </w:p>
    <w:sectPr w:rsidR="00E81A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14" w:rsidRDefault="00246B14" w:rsidP="00E45DDB">
      <w:r>
        <w:separator/>
      </w:r>
    </w:p>
  </w:endnote>
  <w:endnote w:type="continuationSeparator" w:id="0">
    <w:p w:rsidR="00246B14" w:rsidRDefault="00246B14" w:rsidP="00E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B" w:rsidRDefault="00E45DDB">
    <w:pPr>
      <w:pStyle w:val="Footer"/>
    </w:pPr>
    <w:r>
      <w:rPr>
        <w:sz w:val="16"/>
        <w:szCs w:val="16"/>
      </w:rPr>
      <w:t xml:space="preserve">ACBC Exam Study Guide </w:t>
    </w:r>
    <w:r>
      <w:rPr>
        <w:rFonts w:cs="Times New Roman"/>
        <w:sz w:val="16"/>
        <w:szCs w:val="16"/>
      </w:rPr>
      <w:t>©</w:t>
    </w:r>
    <w:r>
      <w:rPr>
        <w:sz w:val="16"/>
        <w:szCs w:val="16"/>
      </w:rPr>
      <w:t xml:space="preserve"> 2020 The Center for Biblical Counseling &amp; Discipleship (CBCD) – the cbcd.org</w:t>
    </w:r>
  </w:p>
  <w:p w:rsidR="00E45DDB" w:rsidRDefault="00E4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14" w:rsidRDefault="00246B14" w:rsidP="00E45DDB">
      <w:r>
        <w:separator/>
      </w:r>
    </w:p>
  </w:footnote>
  <w:footnote w:type="continuationSeparator" w:id="0">
    <w:p w:rsidR="00246B14" w:rsidRDefault="00246B14" w:rsidP="00E4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82"/>
    <w:rsid w:val="00246B14"/>
    <w:rsid w:val="00491E82"/>
    <w:rsid w:val="00802767"/>
    <w:rsid w:val="00E45DDB"/>
    <w:rsid w:val="00E8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8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DB"/>
    <w:pPr>
      <w:tabs>
        <w:tab w:val="center" w:pos="4680"/>
        <w:tab w:val="right" w:pos="9360"/>
      </w:tabs>
    </w:pPr>
  </w:style>
  <w:style w:type="character" w:customStyle="1" w:styleId="HeaderChar">
    <w:name w:val="Header Char"/>
    <w:basedOn w:val="DefaultParagraphFont"/>
    <w:link w:val="Header"/>
    <w:uiPriority w:val="99"/>
    <w:rsid w:val="00E45DDB"/>
    <w:rPr>
      <w:rFonts w:ascii="Times New Roman" w:hAnsi="Times New Roman"/>
      <w:sz w:val="24"/>
    </w:rPr>
  </w:style>
  <w:style w:type="paragraph" w:styleId="Footer">
    <w:name w:val="footer"/>
    <w:basedOn w:val="Normal"/>
    <w:link w:val="FooterChar"/>
    <w:uiPriority w:val="99"/>
    <w:unhideWhenUsed/>
    <w:rsid w:val="00E45DDB"/>
    <w:pPr>
      <w:tabs>
        <w:tab w:val="center" w:pos="4680"/>
        <w:tab w:val="right" w:pos="9360"/>
      </w:tabs>
    </w:pPr>
  </w:style>
  <w:style w:type="character" w:customStyle="1" w:styleId="FooterChar">
    <w:name w:val="Footer Char"/>
    <w:basedOn w:val="DefaultParagraphFont"/>
    <w:link w:val="Footer"/>
    <w:uiPriority w:val="99"/>
    <w:rsid w:val="00E45DDB"/>
    <w:rPr>
      <w:rFonts w:ascii="Times New Roman" w:hAnsi="Times New Roman"/>
      <w:sz w:val="24"/>
    </w:rPr>
  </w:style>
  <w:style w:type="paragraph" w:styleId="BalloonText">
    <w:name w:val="Balloon Text"/>
    <w:basedOn w:val="Normal"/>
    <w:link w:val="BalloonTextChar"/>
    <w:uiPriority w:val="99"/>
    <w:semiHidden/>
    <w:unhideWhenUsed/>
    <w:rsid w:val="00E45DDB"/>
    <w:rPr>
      <w:rFonts w:ascii="Tahoma" w:hAnsi="Tahoma" w:cs="Tahoma"/>
      <w:sz w:val="16"/>
      <w:szCs w:val="16"/>
    </w:rPr>
  </w:style>
  <w:style w:type="character" w:customStyle="1" w:styleId="BalloonTextChar">
    <w:name w:val="Balloon Text Char"/>
    <w:basedOn w:val="DefaultParagraphFont"/>
    <w:link w:val="BalloonText"/>
    <w:uiPriority w:val="99"/>
    <w:semiHidden/>
    <w:rsid w:val="00E4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8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DB"/>
    <w:pPr>
      <w:tabs>
        <w:tab w:val="center" w:pos="4680"/>
        <w:tab w:val="right" w:pos="9360"/>
      </w:tabs>
    </w:pPr>
  </w:style>
  <w:style w:type="character" w:customStyle="1" w:styleId="HeaderChar">
    <w:name w:val="Header Char"/>
    <w:basedOn w:val="DefaultParagraphFont"/>
    <w:link w:val="Header"/>
    <w:uiPriority w:val="99"/>
    <w:rsid w:val="00E45DDB"/>
    <w:rPr>
      <w:rFonts w:ascii="Times New Roman" w:hAnsi="Times New Roman"/>
      <w:sz w:val="24"/>
    </w:rPr>
  </w:style>
  <w:style w:type="paragraph" w:styleId="Footer">
    <w:name w:val="footer"/>
    <w:basedOn w:val="Normal"/>
    <w:link w:val="FooterChar"/>
    <w:uiPriority w:val="99"/>
    <w:unhideWhenUsed/>
    <w:rsid w:val="00E45DDB"/>
    <w:pPr>
      <w:tabs>
        <w:tab w:val="center" w:pos="4680"/>
        <w:tab w:val="right" w:pos="9360"/>
      </w:tabs>
    </w:pPr>
  </w:style>
  <w:style w:type="character" w:customStyle="1" w:styleId="FooterChar">
    <w:name w:val="Footer Char"/>
    <w:basedOn w:val="DefaultParagraphFont"/>
    <w:link w:val="Footer"/>
    <w:uiPriority w:val="99"/>
    <w:rsid w:val="00E45DDB"/>
    <w:rPr>
      <w:rFonts w:ascii="Times New Roman" w:hAnsi="Times New Roman"/>
      <w:sz w:val="24"/>
    </w:rPr>
  </w:style>
  <w:style w:type="paragraph" w:styleId="BalloonText">
    <w:name w:val="Balloon Text"/>
    <w:basedOn w:val="Normal"/>
    <w:link w:val="BalloonTextChar"/>
    <w:uiPriority w:val="99"/>
    <w:semiHidden/>
    <w:unhideWhenUsed/>
    <w:rsid w:val="00E45DDB"/>
    <w:rPr>
      <w:rFonts w:ascii="Tahoma" w:hAnsi="Tahoma" w:cs="Tahoma"/>
      <w:sz w:val="16"/>
      <w:szCs w:val="16"/>
    </w:rPr>
  </w:style>
  <w:style w:type="character" w:customStyle="1" w:styleId="BalloonTextChar">
    <w:name w:val="Balloon Text Char"/>
    <w:basedOn w:val="DefaultParagraphFont"/>
    <w:link w:val="BalloonText"/>
    <w:uiPriority w:val="99"/>
    <w:semiHidden/>
    <w:rsid w:val="00E4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Company>Grace Bible Church</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Keith Palmer</cp:lastModifiedBy>
  <cp:revision>2</cp:revision>
  <dcterms:created xsi:type="dcterms:W3CDTF">2020-08-03T14:52:00Z</dcterms:created>
  <dcterms:modified xsi:type="dcterms:W3CDTF">2020-08-03T14:53:00Z</dcterms:modified>
</cp:coreProperties>
</file>